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C5A3" w14:textId="77777777" w:rsidR="00E07A65" w:rsidRDefault="00E07A65">
      <w:pPr>
        <w:spacing w:after="0" w:line="240" w:lineRule="auto"/>
        <w:rPr>
          <w:rFonts w:ascii="Gill Sans" w:eastAsia="Gill Sans" w:hAnsi="Gill Sans" w:cs="Gill Sans"/>
        </w:rPr>
      </w:pPr>
    </w:p>
    <w:p w14:paraId="404B934E" w14:textId="012F7E80" w:rsidR="009528DF" w:rsidRDefault="003C1B48">
      <w:pPr>
        <w:spacing w:after="0" w:line="240" w:lineRule="auto"/>
        <w:ind w:left="-284"/>
        <w:jc w:val="both"/>
        <w:rPr>
          <w:rFonts w:ascii="Arial Narrow" w:eastAsia="Arial Narrow" w:hAnsi="Arial Narrow" w:cs="Arial Narrow"/>
          <w:b/>
        </w:rPr>
      </w:pPr>
      <w:bookmarkStart w:id="0" w:name="_heading=h.gjdgxs" w:colFirst="0" w:colLast="0"/>
      <w:bookmarkEnd w:id="0"/>
      <w:r>
        <w:rPr>
          <w:rFonts w:ascii="Arial Narrow" w:eastAsia="Arial Narrow" w:hAnsi="Arial Narrow" w:cs="Arial Narrow"/>
          <w:b/>
        </w:rPr>
        <w:t xml:space="preserve">CONSULTA PÚBLICA PREVIA AL PROYECTO DE ORDEN </w:t>
      </w:r>
      <w:r w:rsidR="00EF55E8">
        <w:rPr>
          <w:rFonts w:ascii="Arial Narrow" w:eastAsia="Arial Narrow" w:hAnsi="Arial Narrow" w:cs="Arial Narrow"/>
          <w:b/>
        </w:rPr>
        <w:t>por la que se modifica la Orden de 8 de mayo de 2025 por la que se regula el proceso de admisión y matriculación para cursar las enseñanzas de idiomas de régimen especial, en modalidad presencial, en las Escuelas Oficiales de Idiomas del ámbito de la Comunidad Autónoma de Extremadura.</w:t>
      </w:r>
    </w:p>
    <w:p w14:paraId="3F44AF6E" w14:textId="77777777" w:rsidR="009A36AD" w:rsidRDefault="009A36AD">
      <w:pPr>
        <w:spacing w:after="0" w:line="240" w:lineRule="auto"/>
        <w:ind w:left="-284"/>
        <w:jc w:val="both"/>
        <w:rPr>
          <w:rFonts w:ascii="Arial Narrow" w:eastAsia="Arial Narrow" w:hAnsi="Arial Narrow" w:cs="Arial Narrow"/>
          <w:b/>
        </w:rPr>
      </w:pPr>
    </w:p>
    <w:p w14:paraId="52C37595" w14:textId="77777777" w:rsidR="00E07A65" w:rsidRDefault="00E07A65" w:rsidP="009528DF">
      <w:pPr>
        <w:spacing w:after="0" w:line="240" w:lineRule="auto"/>
        <w:jc w:val="both"/>
        <w:rPr>
          <w:rFonts w:ascii="Arial Narrow" w:eastAsia="Arial Narrow" w:hAnsi="Arial Narrow" w:cs="Arial Narrow"/>
          <w:b/>
        </w:rPr>
      </w:pPr>
      <w:bookmarkStart w:id="1" w:name="_heading=h.rg6h4vk5e9hb" w:colFirst="0" w:colLast="0"/>
      <w:bookmarkStart w:id="2" w:name="_heading=h.19lr83kwpmlw" w:colFirst="0" w:colLast="0"/>
      <w:bookmarkEnd w:id="1"/>
      <w:bookmarkEnd w:id="2"/>
    </w:p>
    <w:tbl>
      <w:tblPr>
        <w:tblStyle w:val="1"/>
        <w:tblW w:w="878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5"/>
        <w:gridCol w:w="3079"/>
        <w:gridCol w:w="2410"/>
      </w:tblGrid>
      <w:tr w:rsidR="00E07A65" w14:paraId="1918F01B" w14:textId="77777777" w:rsidTr="00E07A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bottom w:val="single" w:sz="4" w:space="0" w:color="000000"/>
            </w:tcBorders>
          </w:tcPr>
          <w:p w14:paraId="56D59C06" w14:textId="77777777" w:rsidR="009A36AD" w:rsidRDefault="009A36AD">
            <w:pPr>
              <w:rPr>
                <w:rFonts w:ascii="Arial Narrow" w:eastAsia="Arial Narrow" w:hAnsi="Arial Narrow" w:cs="Arial Narrow"/>
                <w:b w:val="0"/>
              </w:rPr>
            </w:pPr>
          </w:p>
          <w:p w14:paraId="10271439" w14:textId="77777777" w:rsidR="00E025D2" w:rsidRDefault="00E025D2">
            <w:pPr>
              <w:rPr>
                <w:rFonts w:ascii="Arial Narrow" w:eastAsia="Arial Narrow" w:hAnsi="Arial Narrow" w:cs="Arial Narrow"/>
                <w:b w:val="0"/>
              </w:rPr>
            </w:pPr>
          </w:p>
          <w:p w14:paraId="0C91E0D6" w14:textId="77777777" w:rsidR="00E025D2" w:rsidRDefault="00E025D2">
            <w:pPr>
              <w:rPr>
                <w:rFonts w:ascii="Arial Narrow" w:eastAsia="Arial Narrow" w:hAnsi="Arial Narrow" w:cs="Arial Narrow"/>
                <w:b w:val="0"/>
              </w:rPr>
            </w:pPr>
          </w:p>
          <w:p w14:paraId="529C0EB4" w14:textId="77777777" w:rsidR="00E025D2" w:rsidRDefault="00E025D2">
            <w:pPr>
              <w:rPr>
                <w:rFonts w:ascii="Arial Narrow" w:eastAsia="Arial Narrow" w:hAnsi="Arial Narrow" w:cs="Arial Narrow"/>
                <w:b w:val="0"/>
              </w:rPr>
            </w:pPr>
          </w:p>
          <w:p w14:paraId="658B9BD0" w14:textId="77777777" w:rsidR="00E025D2" w:rsidRDefault="00E025D2">
            <w:pPr>
              <w:rPr>
                <w:rFonts w:ascii="Arial Narrow" w:eastAsia="Arial Narrow" w:hAnsi="Arial Narrow" w:cs="Arial Narrow"/>
                <w:b w:val="0"/>
              </w:rPr>
            </w:pPr>
          </w:p>
          <w:p w14:paraId="760BAC42" w14:textId="77777777" w:rsidR="00E025D2" w:rsidRDefault="00E025D2">
            <w:pPr>
              <w:rPr>
                <w:rFonts w:ascii="Arial Narrow" w:eastAsia="Arial Narrow" w:hAnsi="Arial Narrow" w:cs="Arial Narrow"/>
                <w:b w:val="0"/>
              </w:rPr>
            </w:pPr>
          </w:p>
          <w:p w14:paraId="75B9809D" w14:textId="77777777" w:rsidR="00E025D2" w:rsidRDefault="00E025D2">
            <w:pPr>
              <w:rPr>
                <w:rFonts w:ascii="Arial Narrow" w:eastAsia="Arial Narrow" w:hAnsi="Arial Narrow" w:cs="Arial Narrow"/>
                <w:b w:val="0"/>
              </w:rPr>
            </w:pPr>
          </w:p>
          <w:p w14:paraId="4598B995" w14:textId="38DC47C1" w:rsidR="00E07A65" w:rsidRDefault="003C1B48">
            <w:pPr>
              <w:rPr>
                <w:rFonts w:ascii="Arial Narrow" w:eastAsia="Arial Narrow" w:hAnsi="Arial Narrow" w:cs="Arial Narrow"/>
              </w:rPr>
            </w:pPr>
            <w:r>
              <w:rPr>
                <w:rFonts w:ascii="Arial Narrow" w:eastAsia="Arial Narrow" w:hAnsi="Arial Narrow" w:cs="Arial Narrow"/>
              </w:rPr>
              <w:t>1.Antecedentes de la norma</w:t>
            </w:r>
          </w:p>
        </w:tc>
        <w:tc>
          <w:tcPr>
            <w:tcW w:w="3079" w:type="dxa"/>
            <w:tcBorders>
              <w:bottom w:val="single" w:sz="4" w:space="0" w:color="000000"/>
            </w:tcBorders>
          </w:tcPr>
          <w:p w14:paraId="0654A981" w14:textId="77777777" w:rsidR="00E025D2" w:rsidRDefault="00E025D2">
            <w:pPr>
              <w:shd w:val="clear" w:color="auto" w:fill="FFFFFF"/>
              <w:spacing w:before="280"/>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471C14ED" w14:textId="77777777" w:rsidR="00E025D2" w:rsidRDefault="00E025D2">
            <w:pPr>
              <w:shd w:val="clear" w:color="auto" w:fill="FFFFFF"/>
              <w:spacing w:before="280"/>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22A8A529" w14:textId="77777777" w:rsidR="00E025D2" w:rsidRDefault="00E025D2">
            <w:pPr>
              <w:shd w:val="clear" w:color="auto" w:fill="FFFFFF"/>
              <w:spacing w:before="280"/>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1B92FC5D" w14:textId="11294455" w:rsidR="00E025D2" w:rsidRDefault="00EF55E8" w:rsidP="00EF55E8">
            <w:pPr>
              <w:shd w:val="clear" w:color="auto" w:fill="FFFFFF"/>
              <w:spacing w:before="280"/>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EF55E8">
              <w:rPr>
                <w:rFonts w:ascii="Arial Narrow" w:eastAsia="Arial Narrow" w:hAnsi="Arial Narrow" w:cs="Arial Narrow"/>
              </w:rPr>
              <w:t xml:space="preserve">Orden de 8 de mayo de 2025 por la que se regula el proceso de admisión y matriculación para cursar las enseñanzas de idiomas de régimen especial, en modalidad presencial, en las Escuelas Oficiales de Idiomas del ámbito de la Comunidad Autónoma de Extremadura (DOE </w:t>
            </w:r>
            <w:proofErr w:type="spellStart"/>
            <w:r w:rsidRPr="00EF55E8">
              <w:rPr>
                <w:rFonts w:ascii="Arial Narrow" w:eastAsia="Arial Narrow" w:hAnsi="Arial Narrow" w:cs="Arial Narrow"/>
              </w:rPr>
              <w:t>nº</w:t>
            </w:r>
            <w:proofErr w:type="spellEnd"/>
            <w:r w:rsidRPr="00EF55E8">
              <w:rPr>
                <w:rFonts w:ascii="Arial Narrow" w:eastAsia="Arial Narrow" w:hAnsi="Arial Narrow" w:cs="Arial Narrow"/>
              </w:rPr>
              <w:t xml:space="preserve"> 90, de 13 de mayo).</w:t>
            </w:r>
          </w:p>
        </w:tc>
        <w:tc>
          <w:tcPr>
            <w:tcW w:w="2410" w:type="dxa"/>
            <w:tcBorders>
              <w:bottom w:val="single" w:sz="4" w:space="0" w:color="000000"/>
            </w:tcBorders>
          </w:tcPr>
          <w:p w14:paraId="70E8412B" w14:textId="77777777" w:rsidR="00E07A65" w:rsidRDefault="003C1B48">
            <w:pPr>
              <w:shd w:val="clear" w:color="auto" w:fill="FFFFFF"/>
              <w:ind w:right="28"/>
              <w:jc w:val="both"/>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color w:val="000000"/>
              </w:rPr>
              <w:t>(Espacio reservado a la identificación de los problemas y sugerencias por los interesados)</w:t>
            </w:r>
          </w:p>
        </w:tc>
      </w:tr>
      <w:tr w:rsidR="00E07A65" w14:paraId="39B55213" w14:textId="77777777" w:rsidTr="00E07A65">
        <w:tc>
          <w:tcPr>
            <w:cnfStyle w:val="001000000000" w:firstRow="0" w:lastRow="0" w:firstColumn="1" w:lastColumn="0" w:oddVBand="0" w:evenVBand="0" w:oddHBand="0" w:evenHBand="0" w:firstRowFirstColumn="0" w:firstRowLastColumn="0" w:lastRowFirstColumn="0" w:lastRowLastColumn="0"/>
            <w:tcW w:w="3295" w:type="dxa"/>
          </w:tcPr>
          <w:p w14:paraId="4484E24B" w14:textId="77777777" w:rsidR="00EB19BE" w:rsidRDefault="00EB19BE">
            <w:pPr>
              <w:rPr>
                <w:rFonts w:ascii="Arial Narrow" w:eastAsia="Arial Narrow" w:hAnsi="Arial Narrow" w:cs="Arial Narrow"/>
                <w:b w:val="0"/>
              </w:rPr>
            </w:pPr>
          </w:p>
          <w:p w14:paraId="6CBFFB6C" w14:textId="4410687A" w:rsidR="00E07A65" w:rsidRDefault="003C1B48">
            <w:pPr>
              <w:rPr>
                <w:rFonts w:ascii="Arial Narrow" w:eastAsia="Arial Narrow" w:hAnsi="Arial Narrow" w:cs="Arial Narrow"/>
              </w:rPr>
            </w:pPr>
            <w:r>
              <w:rPr>
                <w:rFonts w:ascii="Arial Narrow" w:eastAsia="Arial Narrow" w:hAnsi="Arial Narrow" w:cs="Arial Narrow"/>
              </w:rPr>
              <w:t>2.Problemas que se pretenden solucionar con la nueva norma</w:t>
            </w:r>
          </w:p>
        </w:tc>
        <w:tc>
          <w:tcPr>
            <w:tcW w:w="3079" w:type="dxa"/>
          </w:tcPr>
          <w:p w14:paraId="00CF1F58" w14:textId="77777777" w:rsidR="00EB19BE" w:rsidRDefault="00EB19BE" w:rsidP="009528DF">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077C65CD" w14:textId="77BCCE73" w:rsidR="00EF55E8" w:rsidRPr="00EF55E8" w:rsidRDefault="00EF55E8" w:rsidP="00EF55E8">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EF55E8">
              <w:rPr>
                <w:rFonts w:ascii="Arial Narrow" w:eastAsia="Arial Narrow" w:hAnsi="Arial Narrow" w:cs="Arial Narrow"/>
              </w:rPr>
              <w:t xml:space="preserve">Clarificar y optimizar el procedimiento de valoración de los conocimientos previos del alumnado a través de la documentación acreditativa de competencia lingüística que aporta, evitando situaciones de inseguridad jurídica o disparidad de criterios entre centros. </w:t>
            </w:r>
          </w:p>
          <w:p w14:paraId="4A5A159B" w14:textId="78A218EC" w:rsidR="00EF55E8" w:rsidRPr="00EF55E8" w:rsidRDefault="00EF55E8" w:rsidP="00EF55E8">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7CFBB49F" w14:textId="0835BF1C" w:rsidR="00EF55E8" w:rsidRPr="00EF55E8" w:rsidRDefault="00EF55E8" w:rsidP="00EF55E8">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EF55E8">
              <w:rPr>
                <w:rFonts w:ascii="Arial Narrow" w:eastAsia="Arial Narrow" w:hAnsi="Arial Narrow" w:cs="Arial Narrow"/>
              </w:rPr>
              <w:t xml:space="preserve"> Especificar con mayor precisión los títulos y certificados de competencia lingüística admitidos para la determinación del nivel de acceso, vinculándolos a un anexo específico y a la relación anual vigente publicada por la Conferencia de Rectores de las Universidades Españolas (CRUE). </w:t>
            </w:r>
          </w:p>
          <w:p w14:paraId="5F4D2561" w14:textId="5B5A5964" w:rsidR="00EF55E8" w:rsidRPr="00EF55E8" w:rsidRDefault="00EF55E8" w:rsidP="00EF55E8">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2D9FF08D" w14:textId="54CF366F" w:rsidR="00EF55E8" w:rsidRPr="00EF55E8" w:rsidRDefault="00EF55E8" w:rsidP="00EF55E8">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EF55E8">
              <w:rPr>
                <w:rFonts w:ascii="Arial Narrow" w:eastAsia="Arial Narrow" w:hAnsi="Arial Narrow" w:cs="Arial Narrow"/>
              </w:rPr>
              <w:t>Introducir una regulación específica del acceso del alumnado con altas capacidades intelectuales que haya sido objeto de medidas excepcionales de flexibilización, de manera que puedan acceder a estas enseñanzas en igualdad de condicione</w:t>
            </w:r>
          </w:p>
          <w:p w14:paraId="66D64D35" w14:textId="77777777" w:rsidR="00EB19BE" w:rsidRDefault="00EB19BE" w:rsidP="009528DF">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2936547B" w14:textId="11DB7A44" w:rsidR="00E601AF" w:rsidRDefault="00E601AF" w:rsidP="009528DF">
            <w:pPr>
              <w:jc w:val="both"/>
              <w:cnfStyle w:val="000000000000" w:firstRow="0" w:lastRow="0" w:firstColumn="0" w:lastColumn="0" w:oddVBand="0" w:evenVBand="0" w:oddHBand="0" w:evenHBand="0" w:firstRowFirstColumn="0" w:firstRowLastColumn="0" w:lastRowFirstColumn="0" w:lastRowLastColumn="0"/>
              <w:rPr>
                <w:rFonts w:ascii="Gill Sans" w:eastAsia="Gill Sans" w:hAnsi="Gill Sans" w:cs="Gill Sans"/>
              </w:rPr>
            </w:pPr>
          </w:p>
        </w:tc>
        <w:tc>
          <w:tcPr>
            <w:tcW w:w="2410" w:type="dxa"/>
          </w:tcPr>
          <w:p w14:paraId="2453B0E0" w14:textId="77777777" w:rsidR="00E07A65" w:rsidRDefault="00E07A65">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r w:rsidR="00E07A65" w14:paraId="01C6D4B1" w14:textId="77777777" w:rsidTr="00E07A65">
        <w:tc>
          <w:tcPr>
            <w:cnfStyle w:val="001000000000" w:firstRow="0" w:lastRow="0" w:firstColumn="1" w:lastColumn="0" w:oddVBand="0" w:evenVBand="0" w:oddHBand="0" w:evenHBand="0" w:firstRowFirstColumn="0" w:firstRowLastColumn="0" w:lastRowFirstColumn="0" w:lastRowLastColumn="0"/>
            <w:tcW w:w="3295" w:type="dxa"/>
          </w:tcPr>
          <w:p w14:paraId="7C1A6E6D" w14:textId="77777777" w:rsidR="00E07A65" w:rsidRDefault="00E07A65">
            <w:pPr>
              <w:rPr>
                <w:rFonts w:ascii="Arial Narrow" w:eastAsia="Arial Narrow" w:hAnsi="Arial Narrow" w:cs="Arial Narrow"/>
              </w:rPr>
            </w:pPr>
          </w:p>
          <w:p w14:paraId="1D0B4F66" w14:textId="77777777" w:rsidR="00E07A65" w:rsidRDefault="003C1B48">
            <w:pPr>
              <w:spacing w:before="280"/>
              <w:rPr>
                <w:rFonts w:ascii="Arial Narrow" w:eastAsia="Arial Narrow" w:hAnsi="Arial Narrow" w:cs="Arial Narrow"/>
              </w:rPr>
            </w:pPr>
            <w:r>
              <w:rPr>
                <w:rFonts w:ascii="Arial Narrow" w:eastAsia="Arial Narrow" w:hAnsi="Arial Narrow" w:cs="Arial Narrow"/>
              </w:rPr>
              <w:t>3.Necesidad y oportunidad de su aprobación</w:t>
            </w:r>
          </w:p>
        </w:tc>
        <w:tc>
          <w:tcPr>
            <w:tcW w:w="3079" w:type="dxa"/>
          </w:tcPr>
          <w:p w14:paraId="4ACB62E9" w14:textId="77777777" w:rsidR="009A36AD" w:rsidRDefault="009A36AD">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3B12009A" w14:textId="77777777" w:rsidR="00E97538" w:rsidRDefault="00E97538">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5651EBF5" w14:textId="77777777" w:rsidR="00EF55E8" w:rsidRPr="00EF55E8" w:rsidRDefault="00EF55E8" w:rsidP="00EF55E8">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EF55E8">
              <w:rPr>
                <w:rFonts w:ascii="Arial Narrow" w:eastAsia="Arial Narrow" w:hAnsi="Arial Narrow" w:cs="Arial Narrow"/>
              </w:rPr>
              <w:t>Resulta necesaria la aprobación de esta orden modificativa para:</w:t>
            </w:r>
          </w:p>
          <w:p w14:paraId="1FD5F218" w14:textId="77777777" w:rsidR="00EF55E8" w:rsidRPr="00EF55E8" w:rsidRDefault="00EF55E8" w:rsidP="00EF55E8">
            <w:pPr>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EF55E8">
              <w:rPr>
                <w:rFonts w:ascii="Arial Narrow" w:eastAsia="Arial Narrow" w:hAnsi="Arial Narrow" w:cs="Arial Narrow"/>
              </w:rPr>
              <w:t xml:space="preserve">Adaptar la regulación vigente a la evolución del marco jurídico y de los sistemas de acreditación de competencias lingüísticas, garantizando su coherencia con la normativa básica estatal y con las relaciones de certificados reconocidas por la CRUE. </w:t>
            </w:r>
          </w:p>
          <w:p w14:paraId="5D48BE30" w14:textId="77777777" w:rsidR="00EF55E8" w:rsidRPr="00EF55E8" w:rsidRDefault="00EF55E8" w:rsidP="00EF55E8">
            <w:pPr>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EF55E8">
              <w:rPr>
                <w:rFonts w:ascii="Arial Narrow" w:eastAsia="Arial Narrow" w:hAnsi="Arial Narrow" w:cs="Arial Narrow"/>
              </w:rPr>
              <w:t xml:space="preserve">Dotar de mayor seguridad jurídica tanto a las personas solicitantes como a los centros, evitando interpretaciones divergentes en la admisión y clasificación del alumnado. </w:t>
            </w:r>
          </w:p>
          <w:p w14:paraId="1F5922FC" w14:textId="77777777" w:rsidR="00EF55E8" w:rsidRPr="00EF55E8" w:rsidRDefault="00EF55E8" w:rsidP="00EF55E8">
            <w:pPr>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EF55E8">
              <w:rPr>
                <w:rFonts w:ascii="Arial Narrow" w:eastAsia="Arial Narrow" w:hAnsi="Arial Narrow" w:cs="Arial Narrow"/>
              </w:rPr>
              <w:t>Atender de forma más adecuada a la diversidad del alumnado, en particular al alumnado con altas capacidades intelectuales, en consonancia con la normativa autonómica de atención a la diversidad.</w:t>
            </w:r>
          </w:p>
          <w:p w14:paraId="7947524A" w14:textId="77777777" w:rsidR="00EB19BE" w:rsidRDefault="00EB19BE">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389F10AB" w14:textId="77777777" w:rsidR="00E07A65" w:rsidRDefault="00E07A65" w:rsidP="00E025D2">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2410" w:type="dxa"/>
          </w:tcPr>
          <w:p w14:paraId="494F4996" w14:textId="77777777" w:rsidR="00E07A65" w:rsidRDefault="00E07A65">
            <w:pPr>
              <w:widowControl w:val="0"/>
              <w:pBdr>
                <w:top w:val="nil"/>
                <w:left w:val="nil"/>
                <w:bottom w:val="nil"/>
                <w:right w:val="nil"/>
                <w:between w:val="nil"/>
              </w:pBdr>
              <w:tabs>
                <w:tab w:val="left" w:pos="-426"/>
                <w:tab w:val="left" w:pos="-1"/>
              </w:tabs>
              <w:ind w:left="-116"/>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p>
        </w:tc>
      </w:tr>
      <w:tr w:rsidR="00B27C84" w14:paraId="596F03A5" w14:textId="77777777" w:rsidTr="00E07A65">
        <w:tc>
          <w:tcPr>
            <w:cnfStyle w:val="001000000000" w:firstRow="0" w:lastRow="0" w:firstColumn="1" w:lastColumn="0" w:oddVBand="0" w:evenVBand="0" w:oddHBand="0" w:evenHBand="0" w:firstRowFirstColumn="0" w:firstRowLastColumn="0" w:lastRowFirstColumn="0" w:lastRowLastColumn="0"/>
            <w:tcW w:w="3295" w:type="dxa"/>
          </w:tcPr>
          <w:p w14:paraId="23C64C65" w14:textId="77777777" w:rsidR="00B27C84" w:rsidRDefault="00B27C84" w:rsidP="00B27C84">
            <w:pPr>
              <w:spacing w:before="280"/>
              <w:rPr>
                <w:rFonts w:ascii="Arial Narrow" w:eastAsia="Arial Narrow" w:hAnsi="Arial Narrow" w:cs="Arial Narrow"/>
              </w:rPr>
            </w:pPr>
            <w:r>
              <w:rPr>
                <w:rFonts w:ascii="Arial Narrow" w:eastAsia="Arial Narrow" w:hAnsi="Arial Narrow" w:cs="Arial Narrow"/>
              </w:rPr>
              <w:t>4. Objetivos de la norma</w:t>
            </w:r>
          </w:p>
        </w:tc>
        <w:tc>
          <w:tcPr>
            <w:tcW w:w="3079" w:type="dxa"/>
          </w:tcPr>
          <w:p w14:paraId="1F87CE1E" w14:textId="77777777" w:rsidR="00EB19BE" w:rsidRDefault="00EB19BE" w:rsidP="00B27C84">
            <w:pPr>
              <w:spacing w:line="200" w:lineRule="atLeast"/>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p w14:paraId="6DF13DC6" w14:textId="5B43D73D" w:rsidR="00EF55E8" w:rsidRPr="00EF55E8" w:rsidRDefault="00EF55E8" w:rsidP="00EF55E8">
            <w:pPr>
              <w:pBdr>
                <w:top w:val="nil"/>
                <w:left w:val="nil"/>
                <w:bottom w:val="nil"/>
                <w:right w:val="nil"/>
                <w:between w:val="nil"/>
              </w:pBdr>
              <w:spacing w:line="200" w:lineRule="atLeast"/>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L</w:t>
            </w:r>
            <w:r w:rsidRPr="00EF55E8">
              <w:rPr>
                <w:rFonts w:ascii="Arial Narrow" w:eastAsia="Arial Narrow" w:hAnsi="Arial Narrow" w:cs="Arial Narrow"/>
                <w:color w:val="000000"/>
              </w:rPr>
              <w:t>os objetivos de la norma son:</w:t>
            </w:r>
          </w:p>
          <w:p w14:paraId="5ADBCE76" w14:textId="77777777" w:rsidR="00EF55E8" w:rsidRPr="00EF55E8" w:rsidRDefault="00EF55E8" w:rsidP="00EF55E8">
            <w:pPr>
              <w:numPr>
                <w:ilvl w:val="0"/>
                <w:numId w:val="2"/>
              </w:numPr>
              <w:pBdr>
                <w:top w:val="nil"/>
                <w:left w:val="nil"/>
                <w:bottom w:val="nil"/>
                <w:right w:val="nil"/>
                <w:between w:val="nil"/>
              </w:pBdr>
              <w:spacing w:line="200" w:lineRule="atLeast"/>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sidRPr="00EF55E8">
              <w:rPr>
                <w:rFonts w:ascii="Arial Narrow" w:eastAsia="Arial Narrow" w:hAnsi="Arial Narrow" w:cs="Arial Narrow"/>
                <w:color w:val="000000"/>
              </w:rPr>
              <w:t xml:space="preserve">Precisar y sistematizar los títulos y certificados de competencia lingüística que dan acceso a los distintos niveles de las enseñanzas de idiomas de régimen especial, mediante la creación y actualización periódica de un Anexo II específico. </w:t>
            </w:r>
          </w:p>
          <w:p w14:paraId="50B1EE0A" w14:textId="77777777" w:rsidR="00EF55E8" w:rsidRPr="00EF55E8" w:rsidRDefault="00EF55E8" w:rsidP="00EF55E8">
            <w:pPr>
              <w:numPr>
                <w:ilvl w:val="0"/>
                <w:numId w:val="2"/>
              </w:numPr>
              <w:pBdr>
                <w:top w:val="nil"/>
                <w:left w:val="nil"/>
                <w:bottom w:val="nil"/>
                <w:right w:val="nil"/>
                <w:between w:val="nil"/>
              </w:pBdr>
              <w:spacing w:line="200" w:lineRule="atLeast"/>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sidRPr="00EF55E8">
              <w:rPr>
                <w:rFonts w:ascii="Arial Narrow" w:eastAsia="Arial Narrow" w:hAnsi="Arial Narrow" w:cs="Arial Narrow"/>
                <w:color w:val="000000"/>
              </w:rPr>
              <w:t xml:space="preserve">Regular el acceso del alumnado con altas capacidades intelectuales al que se le haya aplicado la medida excepcional de flexibilización, estableciendo los requisitos documentales y </w:t>
            </w:r>
            <w:r w:rsidRPr="00EF55E8">
              <w:rPr>
                <w:rFonts w:ascii="Arial Narrow" w:eastAsia="Arial Narrow" w:hAnsi="Arial Narrow" w:cs="Arial Narrow"/>
                <w:color w:val="000000"/>
              </w:rPr>
              <w:lastRenderedPageBreak/>
              <w:t xml:space="preserve">las condiciones de escolarización. </w:t>
            </w:r>
          </w:p>
          <w:p w14:paraId="4A9C9DE6" w14:textId="71A607BB" w:rsidR="00B27C84" w:rsidRDefault="00B27C84" w:rsidP="00EF55E8">
            <w:pPr>
              <w:pBdr>
                <w:top w:val="nil"/>
                <w:left w:val="nil"/>
                <w:bottom w:val="nil"/>
                <w:right w:val="nil"/>
                <w:between w:val="nil"/>
              </w:pBdr>
              <w:spacing w:line="200" w:lineRule="atLeast"/>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p>
        </w:tc>
        <w:tc>
          <w:tcPr>
            <w:tcW w:w="2410" w:type="dxa"/>
          </w:tcPr>
          <w:p w14:paraId="75625BF7" w14:textId="77777777" w:rsidR="00B27C84" w:rsidRDefault="00B27C84" w:rsidP="00B27C84">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r w:rsidR="00B27C84" w14:paraId="4D219DD2" w14:textId="77777777" w:rsidTr="00E07A65">
        <w:tc>
          <w:tcPr>
            <w:cnfStyle w:val="001000000000" w:firstRow="0" w:lastRow="0" w:firstColumn="1" w:lastColumn="0" w:oddVBand="0" w:evenVBand="0" w:oddHBand="0" w:evenHBand="0" w:firstRowFirstColumn="0" w:firstRowLastColumn="0" w:lastRowFirstColumn="0" w:lastRowLastColumn="0"/>
            <w:tcW w:w="3295" w:type="dxa"/>
          </w:tcPr>
          <w:p w14:paraId="12EBC6F5" w14:textId="77777777" w:rsidR="00B27C84" w:rsidRDefault="00B27C84" w:rsidP="00B27C84">
            <w:pPr>
              <w:rPr>
                <w:rFonts w:ascii="Arial Narrow" w:eastAsia="Arial Narrow" w:hAnsi="Arial Narrow" w:cs="Arial Narrow"/>
              </w:rPr>
            </w:pPr>
            <w:r w:rsidRPr="00EB19BE">
              <w:rPr>
                <w:rFonts w:ascii="Arial Narrow" w:eastAsia="Arial Narrow" w:hAnsi="Arial Narrow" w:cs="Arial Narrow"/>
              </w:rPr>
              <w:t>5 Las posibles soluciones alternativas regulatorias y no regulatorias</w:t>
            </w:r>
          </w:p>
        </w:tc>
        <w:tc>
          <w:tcPr>
            <w:tcW w:w="3079" w:type="dxa"/>
          </w:tcPr>
          <w:p w14:paraId="6FE6E27C" w14:textId="77777777" w:rsidR="00EF55E8" w:rsidRPr="00EF55E8" w:rsidRDefault="00EF55E8" w:rsidP="00EF55E8">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Cs/>
              </w:rPr>
            </w:pPr>
            <w:r w:rsidRPr="00EF55E8">
              <w:rPr>
                <w:rFonts w:ascii="Arial Narrow" w:eastAsia="Arial Narrow" w:hAnsi="Arial Narrow" w:cs="Arial Narrow"/>
                <w:bCs/>
              </w:rPr>
              <w:t xml:space="preserve">No se contemplan otras alternativas regulatorias o no regulatorias que permitan alcanzar de forma adecuada los objetivos perseguidos por esta norma, dado que las modificaciones propuestas requieren de un instrumento normativo de rango de orden para su plena eficacia jurídica. </w:t>
            </w:r>
          </w:p>
          <w:p w14:paraId="7A3C5BB3" w14:textId="54A52D01" w:rsidR="00B27C84" w:rsidRPr="00EB19BE" w:rsidRDefault="00B27C84" w:rsidP="00B27C84">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Cs/>
              </w:rPr>
            </w:pPr>
          </w:p>
        </w:tc>
        <w:tc>
          <w:tcPr>
            <w:tcW w:w="2410" w:type="dxa"/>
          </w:tcPr>
          <w:p w14:paraId="7896D2CB" w14:textId="77777777" w:rsidR="00B27C84" w:rsidRDefault="00B27C84" w:rsidP="00B27C84">
            <w:pPr>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bl>
    <w:p w14:paraId="1DB066AB" w14:textId="77777777" w:rsidR="00E07A65" w:rsidRDefault="00E07A65">
      <w:pPr>
        <w:spacing w:before="280" w:after="0" w:line="240" w:lineRule="auto"/>
        <w:rPr>
          <w:rFonts w:ascii="Gill Sans" w:eastAsia="Gill Sans" w:hAnsi="Gill Sans" w:cs="Gill Sans"/>
        </w:rPr>
      </w:pPr>
    </w:p>
    <w:p w14:paraId="135F7EBF" w14:textId="77777777" w:rsidR="00E07A65" w:rsidRDefault="00E07A65">
      <w:pPr>
        <w:spacing w:before="280" w:after="0" w:line="240" w:lineRule="auto"/>
        <w:rPr>
          <w:rFonts w:ascii="Gill Sans" w:eastAsia="Gill Sans" w:hAnsi="Gill Sans" w:cs="Gill Sans"/>
        </w:rPr>
      </w:pPr>
    </w:p>
    <w:p w14:paraId="518E29F2" w14:textId="77777777" w:rsidR="00E07A65" w:rsidRDefault="00E07A65">
      <w:pPr>
        <w:spacing w:before="280" w:after="0" w:line="240" w:lineRule="auto"/>
        <w:rPr>
          <w:rFonts w:ascii="Gill Sans" w:eastAsia="Gill Sans" w:hAnsi="Gill Sans" w:cs="Gill Sans"/>
        </w:rPr>
      </w:pPr>
    </w:p>
    <w:p w14:paraId="55EC0A78" w14:textId="77777777" w:rsidR="00E07A65" w:rsidRDefault="00E07A65">
      <w:pPr>
        <w:rPr>
          <w:rFonts w:ascii="Gill Sans" w:eastAsia="Gill Sans" w:hAnsi="Gill Sans" w:cs="Gill Sans"/>
        </w:rPr>
      </w:pPr>
    </w:p>
    <w:sectPr w:rsidR="00E07A65">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altName w:val="Times New Roman"/>
    <w:charset w:val="00"/>
    <w:family w:val="auto"/>
    <w:pitch w:val="variable"/>
  </w:font>
  <w:font w:name="FreeSans">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11760"/>
    <w:multiLevelType w:val="multilevel"/>
    <w:tmpl w:val="D9CA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D05A6"/>
    <w:multiLevelType w:val="multilevel"/>
    <w:tmpl w:val="D8B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510765">
    <w:abstractNumId w:val="0"/>
  </w:num>
  <w:num w:numId="2" w16cid:durableId="677655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65"/>
    <w:rsid w:val="001420A2"/>
    <w:rsid w:val="0014686F"/>
    <w:rsid w:val="001469C3"/>
    <w:rsid w:val="0026052C"/>
    <w:rsid w:val="002D4DDC"/>
    <w:rsid w:val="003C1B48"/>
    <w:rsid w:val="006B197C"/>
    <w:rsid w:val="00794F6A"/>
    <w:rsid w:val="009528DF"/>
    <w:rsid w:val="009A36AD"/>
    <w:rsid w:val="00AD64F7"/>
    <w:rsid w:val="00B27C84"/>
    <w:rsid w:val="00C44A5E"/>
    <w:rsid w:val="00C91DBC"/>
    <w:rsid w:val="00E025D2"/>
    <w:rsid w:val="00E07A65"/>
    <w:rsid w:val="00E601AF"/>
    <w:rsid w:val="00E97538"/>
    <w:rsid w:val="00EB19BE"/>
    <w:rsid w:val="00ED6B75"/>
    <w:rsid w:val="00EF55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CE26"/>
  <w15:docId w15:val="{AFD59163-E79E-49D4-89A5-A2DB8C13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Tablaconcuadrculaclara">
    <w:name w:val="Grid Table Light"/>
    <w:basedOn w:val="Tablanormal"/>
    <w:uiPriority w:val="40"/>
    <w:rsid w:val="004E18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C7CD6"/>
    <w:pPr>
      <w:autoSpaceDE w:val="0"/>
      <w:autoSpaceDN w:val="0"/>
      <w:adjustRightInd w:val="0"/>
      <w:spacing w:after="0" w:line="240" w:lineRule="auto"/>
    </w:pPr>
    <w:rPr>
      <w:rFonts w:ascii="Arial" w:hAnsi="Arial" w:cs="Arial"/>
      <w:color w:val="000000"/>
      <w:sz w:val="24"/>
      <w:szCs w:val="24"/>
    </w:rPr>
  </w:style>
  <w:style w:type="table" w:styleId="Tablanormal1">
    <w:name w:val="Plain Table 1"/>
    <w:basedOn w:val="Tablanormal"/>
    <w:uiPriority w:val="41"/>
    <w:rsid w:val="005C7C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1B567C"/>
    <w:pPr>
      <w:widowControl w:val="0"/>
      <w:suppressAutoHyphens/>
      <w:autoSpaceDN w:val="0"/>
      <w:spacing w:after="0" w:line="240" w:lineRule="auto"/>
      <w:textAlignment w:val="baseline"/>
    </w:pPr>
    <w:rPr>
      <w:rFonts w:ascii="Times New Roman" w:eastAsia="Droid Sans" w:hAnsi="Times New Roman" w:cs="FreeSans"/>
      <w:kern w:val="3"/>
      <w:sz w:val="24"/>
      <w:szCs w:val="24"/>
      <w:lang w:eastAsia="zh-CN" w:bidi="hi-IN"/>
    </w:rPr>
  </w:style>
  <w:style w:type="table" w:styleId="Tablaconcuadrcula1clara-nfasis3">
    <w:name w:val="Grid Table 1 Light Accent 3"/>
    <w:basedOn w:val="Tablanormal"/>
    <w:uiPriority w:val="46"/>
    <w:rsid w:val="00A74AD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AC02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0290"/>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1"/>
    <w:pPr>
      <w:spacing w:after="0" w:line="240" w:lineRule="auto"/>
    </w:pPr>
    <w:tblPr>
      <w:tblStyleRowBandSize w:val="1"/>
      <w:tblStyleColBandSize w:val="1"/>
      <w:tblCellMar>
        <w:left w:w="108" w:type="dxa"/>
        <w:right w:w="108"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table" w:customStyle="1" w:styleId="1">
    <w:name w:val="1"/>
    <w:basedOn w:val="TableNormal1"/>
    <w:pPr>
      <w:spacing w:after="0" w:line="240" w:lineRule="auto"/>
    </w:pPr>
    <w:tblPr>
      <w:tblStyleRowBandSize w:val="1"/>
      <w:tblStyleColBandSize w:val="1"/>
      <w:tblCellMar>
        <w:left w:w="108" w:type="dxa"/>
        <w:right w:w="108"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paragraph" w:styleId="NormalWeb">
    <w:name w:val="Normal (Web)"/>
    <w:basedOn w:val="Normal"/>
    <w:link w:val="NormalWebCar"/>
    <w:uiPriority w:val="99"/>
    <w:unhideWhenUsed/>
    <w:rsid w:val="009A36AD"/>
    <w:pPr>
      <w:spacing w:before="100" w:beforeAutospacing="1" w:after="142" w:line="276" w:lineRule="auto"/>
    </w:pPr>
    <w:rPr>
      <w:rFonts w:ascii="Times New Roman" w:eastAsia="Times New Roman" w:hAnsi="Times New Roman" w:cs="Times New Roman"/>
      <w:sz w:val="24"/>
      <w:szCs w:val="24"/>
    </w:rPr>
  </w:style>
  <w:style w:type="character" w:customStyle="1" w:styleId="NormalWebCar">
    <w:name w:val="Normal (Web) Car"/>
    <w:link w:val="NormalWeb"/>
    <w:uiPriority w:val="99"/>
    <w:locked/>
    <w:rsid w:val="009A36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25d38deb34b7c82bed53d5a1f615fc52">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2b069e02b9ea17861ba8e193c4f13be8"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6deju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6dejunio" ma:index="26" nillable="true" ma:displayName="26 de junio" ma:format="Dropdown" ma:internalName="_x0032_6dejun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59ea89-95ab-4ccd-a68e-2d196601a641}"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I1pkXUT7NHWXqbK5H/HvbQ7lr0Q==">AMUW2mWWShQpOUITPdoA1qpUXl5NpcNlZZBcRrBBZn3x1dxtqEeFPnNtHlOVABiITQyUA98J8sHyep9L8x2LVVpQ3qGSObgvu+81NdDrpfe5UeSKrlNy616joaLe/NMOKeLkURUSSTALkb0UbO6OTyodlZlZR84T31ElaIA/QVcySO0JQCdO/JI=</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60e7c-bca7-40fe-94fd-8ce57f0b4d00">
      <Terms xmlns="http://schemas.microsoft.com/office/infopath/2007/PartnerControls"/>
    </lcf76f155ced4ddcb4097134ff3c332f>
    <TaxCatchAll xmlns="05b120b6-395e-42ed-861a-8a4f5f8638c4" xsi:nil="true"/>
    <_x0032_6dejunio xmlns="98d60e7c-bca7-40fe-94fd-8ce57f0b4d00" xsi:nil="true"/>
  </documentManagement>
</p:properties>
</file>

<file path=customXml/itemProps1.xml><?xml version="1.0" encoding="utf-8"?>
<ds:datastoreItem xmlns:ds="http://schemas.openxmlformats.org/officeDocument/2006/customXml" ds:itemID="{74435B9D-47DD-4799-A572-49B792926B3F}">
  <ds:schemaRefs>
    <ds:schemaRef ds:uri="http://schemas.microsoft.com/sharepoint/v3/contenttype/forms"/>
  </ds:schemaRefs>
</ds:datastoreItem>
</file>

<file path=customXml/itemProps2.xml><?xml version="1.0" encoding="utf-8"?>
<ds:datastoreItem xmlns:ds="http://schemas.openxmlformats.org/officeDocument/2006/customXml" ds:itemID="{9C16A35E-6202-4440-9860-9AA51A0F561A}"/>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A94FC0E-2349-4094-B73F-6B43A578C369}"/>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Lopez de Ayala Sanchez</dc:creator>
  <cp:lastModifiedBy>Manuela Gordo Mejias</cp:lastModifiedBy>
  <cp:revision>2</cp:revision>
  <cp:lastPrinted>2025-12-04T09:06:00Z</cp:lastPrinted>
  <dcterms:created xsi:type="dcterms:W3CDTF">2025-12-04T11:16:00Z</dcterms:created>
  <dcterms:modified xsi:type="dcterms:W3CDTF">2025-12-04T11:16:00Z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ies>
</file>