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BB2AE" w14:textId="28D1B7D8" w:rsidR="00201383" w:rsidRPr="00201383" w:rsidRDefault="00E069F5" w:rsidP="00201383">
      <w:pPr>
        <w:pStyle w:val="Textoindependiente21"/>
        <w:jc w:val="both"/>
        <w:rPr>
          <w:rFonts w:ascii="Arial" w:hAnsi="Arial" w:cs="Arial"/>
          <w:b/>
          <w:bCs/>
          <w:sz w:val="20"/>
        </w:rPr>
      </w:pPr>
      <w:r w:rsidRPr="00201383">
        <w:rPr>
          <w:rFonts w:ascii="Arial" w:hAnsi="Arial" w:cs="Arial"/>
          <w:b/>
          <w:bCs/>
          <w:sz w:val="20"/>
        </w:rPr>
        <w:t xml:space="preserve">FORMULARIO DE CONSULTA PÚBLICA PREVIA Y PRESENTACIÓN DE SUGERENCIAS SOBRE </w:t>
      </w:r>
      <w:r w:rsidR="00F06AA8">
        <w:rPr>
          <w:rFonts w:ascii="Arial" w:hAnsi="Arial" w:cs="Arial"/>
          <w:b/>
          <w:bCs/>
          <w:sz w:val="20"/>
        </w:rPr>
        <w:t xml:space="preserve">EL PROYECTO DE </w:t>
      </w:r>
      <w:r w:rsidR="00C05AEC">
        <w:rPr>
          <w:rFonts w:ascii="Arial" w:hAnsi="Arial" w:cs="Arial"/>
          <w:b/>
          <w:bCs/>
          <w:sz w:val="20"/>
        </w:rPr>
        <w:t xml:space="preserve">DECRETO </w:t>
      </w:r>
      <w:r w:rsidR="00201383" w:rsidRPr="00201383">
        <w:rPr>
          <w:rFonts w:ascii="Arial" w:hAnsi="Arial" w:cs="Arial"/>
          <w:b/>
          <w:bCs/>
          <w:sz w:val="20"/>
        </w:rPr>
        <w:t>DE LA CONSEJERÍA DE SALUD Y SERVICIOS SOCIALES POR LA QUE SE ESTABLECEN LAS BASES REGULADORAS DE LAS AYUDAS POR NATALIDAD A OTORGAR A LAS FAMILIAS RESIDENTES EN LA COMUNIDAD AUTÓNOMA DE EXTREMADURA</w:t>
      </w:r>
      <w:r w:rsidR="002C7C4F">
        <w:rPr>
          <w:rFonts w:ascii="Arial" w:hAnsi="Arial" w:cs="Arial"/>
          <w:b/>
          <w:bCs/>
          <w:sz w:val="20"/>
        </w:rPr>
        <w:t xml:space="preserve"> Y SE APRUEBA LA CONVOCATORIA PARA 2025</w:t>
      </w:r>
      <w:r w:rsidR="00201383" w:rsidRPr="00201383">
        <w:rPr>
          <w:rFonts w:ascii="Arial" w:hAnsi="Arial" w:cs="Arial"/>
          <w:b/>
          <w:bCs/>
          <w:sz w:val="20"/>
        </w:rPr>
        <w:t>.</w:t>
      </w:r>
    </w:p>
    <w:p w14:paraId="47E7DFFB" w14:textId="25887933" w:rsidR="00251E99" w:rsidRDefault="00251E99" w:rsidP="002C7C4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251E99" w:rsidRPr="00E4439C" w14:paraId="7863D576" w14:textId="77777777" w:rsidTr="00E4439C">
        <w:tc>
          <w:tcPr>
            <w:tcW w:w="4248" w:type="dxa"/>
          </w:tcPr>
          <w:p w14:paraId="44B3A609" w14:textId="3ABD8B74" w:rsidR="00251E99" w:rsidRPr="00E4439C" w:rsidRDefault="00A865C8" w:rsidP="0020138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9C">
              <w:rPr>
                <w:rFonts w:ascii="Arial" w:hAnsi="Arial" w:cs="Arial"/>
                <w:b/>
                <w:bCs/>
                <w:sz w:val="20"/>
                <w:szCs w:val="20"/>
              </w:rPr>
              <w:t>Aspectos planteados</w:t>
            </w:r>
          </w:p>
        </w:tc>
        <w:tc>
          <w:tcPr>
            <w:tcW w:w="4252" w:type="dxa"/>
          </w:tcPr>
          <w:p w14:paraId="3AF587B4" w14:textId="5287BBB5" w:rsidR="00251E99" w:rsidRPr="00E4439C" w:rsidRDefault="003C79EE" w:rsidP="0020138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9C">
              <w:rPr>
                <w:rFonts w:ascii="Arial" w:hAnsi="Arial" w:cs="Arial"/>
                <w:b/>
                <w:bCs/>
                <w:sz w:val="20"/>
                <w:szCs w:val="20"/>
              </w:rPr>
              <w:t>Sugerencias y aportaciones de las personas o entidades interesadas</w:t>
            </w:r>
          </w:p>
        </w:tc>
      </w:tr>
      <w:tr w:rsidR="00251E99" w:rsidRPr="00E4439C" w14:paraId="2281E2E7" w14:textId="77777777" w:rsidTr="00E4439C">
        <w:tc>
          <w:tcPr>
            <w:tcW w:w="4248" w:type="dxa"/>
          </w:tcPr>
          <w:p w14:paraId="72112258" w14:textId="4A04D0F0" w:rsidR="00251E99" w:rsidRDefault="000358C8" w:rsidP="00E4439C">
            <w:pPr>
              <w:pStyle w:val="Prrafodelista"/>
              <w:numPr>
                <w:ilvl w:val="0"/>
                <w:numId w:val="1"/>
              </w:numPr>
              <w:ind w:left="318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9C">
              <w:rPr>
                <w:rFonts w:ascii="Arial" w:hAnsi="Arial" w:cs="Arial"/>
                <w:b/>
                <w:bCs/>
                <w:sz w:val="20"/>
                <w:szCs w:val="20"/>
              </w:rPr>
              <w:t>Antecedentes de la norma.</w:t>
            </w:r>
          </w:p>
          <w:p w14:paraId="35D06A05" w14:textId="77777777" w:rsidR="00E4439C" w:rsidRPr="00E4439C" w:rsidRDefault="00E4439C" w:rsidP="00E4439C">
            <w:pPr>
              <w:pStyle w:val="Prrafodelista"/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50962C" w14:textId="445252CE" w:rsidR="00353C1F" w:rsidRPr="00E4439C" w:rsidRDefault="001F5AAF" w:rsidP="00E4439C">
            <w:pPr>
              <w:pStyle w:val="Sangradetextonormal"/>
              <w:ind w:left="318" w:right="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9C">
              <w:rPr>
                <w:rStyle w:val="doe4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Decreto 114/2024, de 10 de septiembre</w:t>
            </w:r>
            <w:r w:rsidR="00BA28C9" w:rsidRPr="00E4439C">
              <w:rPr>
                <w:rFonts w:ascii="Arial" w:hAnsi="Arial" w:cs="Arial"/>
                <w:sz w:val="20"/>
                <w:szCs w:val="20"/>
              </w:rPr>
              <w:t>.</w:t>
            </w:r>
            <w:r w:rsidR="00353C1F" w:rsidRPr="00E4439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900FE3D" w14:textId="7BC28FBC" w:rsidR="001C32DA" w:rsidRPr="00E4439C" w:rsidRDefault="001C32DA" w:rsidP="00E4439C">
            <w:pPr>
              <w:autoSpaceDE w:val="0"/>
              <w:autoSpaceDN w:val="0"/>
              <w:adjustRightInd w:val="0"/>
              <w:ind w:left="318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26263311" w14:textId="77777777" w:rsidR="00251E99" w:rsidRPr="00E4439C" w:rsidRDefault="00251E99" w:rsidP="0020138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5B05" w:rsidRPr="00E4439C" w14:paraId="06CA8FC4" w14:textId="77777777" w:rsidTr="00E4439C">
        <w:tc>
          <w:tcPr>
            <w:tcW w:w="4248" w:type="dxa"/>
          </w:tcPr>
          <w:p w14:paraId="3EF5133E" w14:textId="77777777" w:rsidR="009E5B05" w:rsidRPr="00E4439C" w:rsidRDefault="009E5B05" w:rsidP="00E4439C">
            <w:pPr>
              <w:pStyle w:val="Prrafodelista"/>
              <w:numPr>
                <w:ilvl w:val="0"/>
                <w:numId w:val="1"/>
              </w:numPr>
              <w:ind w:left="318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9C">
              <w:rPr>
                <w:rFonts w:ascii="Arial" w:hAnsi="Arial" w:cs="Arial"/>
                <w:b/>
                <w:bCs/>
                <w:sz w:val="20"/>
                <w:szCs w:val="20"/>
              </w:rPr>
              <w:t>Identificación de los problemas que se pretenden solucionar con la iniciativa.</w:t>
            </w:r>
          </w:p>
          <w:p w14:paraId="13AC4009" w14:textId="00760C84" w:rsidR="006D7F31" w:rsidRPr="00E4439C" w:rsidRDefault="004869AC" w:rsidP="00E4439C">
            <w:pPr>
              <w:pStyle w:val="Prrafodelista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9C">
              <w:rPr>
                <w:rFonts w:ascii="Arial" w:hAnsi="Arial" w:cs="Arial"/>
                <w:sz w:val="20"/>
                <w:szCs w:val="20"/>
              </w:rPr>
              <w:t xml:space="preserve">La Consejería de Salud y Servicios Sociales es conocedora </w:t>
            </w:r>
            <w:r w:rsidR="006D7F31" w:rsidRPr="00E4439C">
              <w:rPr>
                <w:rFonts w:ascii="Arial" w:hAnsi="Arial" w:cs="Arial"/>
                <w:sz w:val="20"/>
                <w:szCs w:val="20"/>
              </w:rPr>
              <w:t>de la disminución progresiva de la población en Extremadura, siendo más acuciante en núcleos poblacionales pequeños</w:t>
            </w:r>
            <w:r w:rsidR="00E4439C">
              <w:rPr>
                <w:rFonts w:ascii="Arial" w:hAnsi="Arial" w:cs="Arial"/>
                <w:sz w:val="20"/>
                <w:szCs w:val="20"/>
              </w:rPr>
              <w:t>, así</w:t>
            </w:r>
            <w:r w:rsidR="006D7F31" w:rsidRPr="00E4439C">
              <w:rPr>
                <w:rFonts w:ascii="Arial" w:hAnsi="Arial" w:cs="Arial"/>
                <w:sz w:val="20"/>
                <w:szCs w:val="20"/>
              </w:rPr>
              <w:t xml:space="preserve"> como los gastos a los que han de enfrentarse ante la llegada de un nuevo miembro a la familia.</w:t>
            </w:r>
          </w:p>
          <w:p w14:paraId="2ACE57A7" w14:textId="77777777" w:rsidR="006D7F31" w:rsidRPr="00E4439C" w:rsidRDefault="006D7F31" w:rsidP="00E4439C">
            <w:pPr>
              <w:pStyle w:val="Prrafodelista"/>
              <w:ind w:left="318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7DA417" w14:textId="4BCAC1ED" w:rsidR="004869AC" w:rsidRPr="00E4439C" w:rsidRDefault="006D7F31" w:rsidP="00E4439C">
            <w:pPr>
              <w:pStyle w:val="Prrafodelista"/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9C">
              <w:rPr>
                <w:rFonts w:ascii="Arial" w:hAnsi="Arial" w:cs="Arial"/>
                <w:sz w:val="20"/>
                <w:szCs w:val="20"/>
              </w:rPr>
              <w:t>La finalidad que se persigue con</w:t>
            </w:r>
            <w:r w:rsidR="004869AC" w:rsidRPr="00E4439C">
              <w:rPr>
                <w:rFonts w:ascii="Arial" w:hAnsi="Arial" w:cs="Arial"/>
                <w:sz w:val="20"/>
                <w:szCs w:val="20"/>
              </w:rPr>
              <w:t xml:space="preserve"> la aprobación de estas bases reguladoras </w:t>
            </w:r>
            <w:r w:rsidRPr="00E4439C">
              <w:rPr>
                <w:rFonts w:ascii="Arial" w:hAnsi="Arial" w:cs="Arial"/>
                <w:sz w:val="20"/>
                <w:szCs w:val="20"/>
              </w:rPr>
              <w:t>es por un lado, fijar población en el mundo rural y p</w:t>
            </w:r>
            <w:r w:rsidR="00672670" w:rsidRPr="00E4439C">
              <w:rPr>
                <w:rFonts w:ascii="Arial" w:hAnsi="Arial" w:cs="Arial"/>
                <w:sz w:val="20"/>
                <w:szCs w:val="20"/>
              </w:rPr>
              <w:t xml:space="preserve">aliar </w:t>
            </w:r>
            <w:r w:rsidR="00586EAF" w:rsidRPr="00E4439C">
              <w:rPr>
                <w:rFonts w:ascii="Arial" w:hAnsi="Arial" w:cs="Arial"/>
                <w:sz w:val="20"/>
                <w:szCs w:val="20"/>
              </w:rPr>
              <w:t xml:space="preserve">en cierta medida los </w:t>
            </w:r>
            <w:r w:rsidR="00672670" w:rsidRPr="00E4439C">
              <w:rPr>
                <w:rFonts w:ascii="Arial" w:hAnsi="Arial" w:cs="Arial"/>
                <w:sz w:val="20"/>
                <w:szCs w:val="20"/>
              </w:rPr>
              <w:t>gastos</w:t>
            </w:r>
            <w:r w:rsidR="00586EAF" w:rsidRPr="00E44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439C">
              <w:rPr>
                <w:rFonts w:ascii="Arial" w:hAnsi="Arial" w:cs="Arial"/>
                <w:sz w:val="20"/>
                <w:szCs w:val="20"/>
              </w:rPr>
              <w:t xml:space="preserve">originados como consecuencia de un nuevo miembro en la familia </w:t>
            </w:r>
          </w:p>
        </w:tc>
        <w:tc>
          <w:tcPr>
            <w:tcW w:w="4252" w:type="dxa"/>
          </w:tcPr>
          <w:p w14:paraId="370CF2C7" w14:textId="77777777" w:rsidR="009E5B05" w:rsidRPr="00E4439C" w:rsidRDefault="009E5B05" w:rsidP="0020138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7F31" w:rsidRPr="00E4439C" w14:paraId="7E8693E2" w14:textId="77777777" w:rsidTr="00E4439C">
        <w:tc>
          <w:tcPr>
            <w:tcW w:w="4248" w:type="dxa"/>
          </w:tcPr>
          <w:p w14:paraId="6166DA26" w14:textId="77777777" w:rsidR="006D7F31" w:rsidRPr="00E4439C" w:rsidRDefault="00490C2B" w:rsidP="00E4439C">
            <w:pPr>
              <w:pStyle w:val="Prrafodelista"/>
              <w:numPr>
                <w:ilvl w:val="0"/>
                <w:numId w:val="1"/>
              </w:numPr>
              <w:ind w:left="318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9C">
              <w:rPr>
                <w:rFonts w:ascii="Arial" w:hAnsi="Arial" w:cs="Arial"/>
                <w:b/>
                <w:bCs/>
                <w:sz w:val="20"/>
                <w:szCs w:val="20"/>
              </w:rPr>
              <w:t>Necesidad y oportunidad de su aprobación</w:t>
            </w:r>
            <w:r w:rsidRPr="00E4439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08519FA" w14:textId="11552C83" w:rsidR="0098497A" w:rsidRPr="00E4439C" w:rsidRDefault="0098497A" w:rsidP="00E4439C">
            <w:pPr>
              <w:pStyle w:val="Prrafodelista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9C">
              <w:rPr>
                <w:rFonts w:ascii="Arial" w:hAnsi="Arial" w:cs="Arial"/>
                <w:sz w:val="20"/>
                <w:szCs w:val="20"/>
              </w:rPr>
              <w:t xml:space="preserve">La necesidad y oportunidad de su aprobación tiene su razón de ser en aliviar la carga económica de las familias </w:t>
            </w:r>
            <w:r w:rsidR="00A061B0" w:rsidRPr="00E4439C">
              <w:rPr>
                <w:rFonts w:ascii="Arial" w:hAnsi="Arial" w:cs="Arial"/>
                <w:sz w:val="20"/>
                <w:szCs w:val="20"/>
              </w:rPr>
              <w:t>que incorporan un nuevo miembro</w:t>
            </w:r>
            <w:r w:rsidR="00AD64F0" w:rsidRPr="00E4439C">
              <w:rPr>
                <w:rFonts w:ascii="Arial" w:hAnsi="Arial" w:cs="Arial"/>
                <w:sz w:val="20"/>
                <w:szCs w:val="20"/>
              </w:rPr>
              <w:t>, en un entorno inflacionista, donde los precios</w:t>
            </w:r>
            <w:r w:rsidR="003A705F" w:rsidRPr="00E4439C">
              <w:rPr>
                <w:rFonts w:ascii="Arial" w:hAnsi="Arial" w:cs="Arial"/>
                <w:sz w:val="20"/>
                <w:szCs w:val="20"/>
              </w:rPr>
              <w:t xml:space="preserve"> continúan con una escalada alcista</w:t>
            </w:r>
            <w:r w:rsidR="00AD64F0" w:rsidRPr="00E443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867ECB" w14:textId="2A975913" w:rsidR="00A061B0" w:rsidRPr="00E4439C" w:rsidRDefault="00A061B0" w:rsidP="00E4439C">
            <w:pPr>
              <w:pStyle w:val="Prrafodelista"/>
              <w:ind w:left="318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43BB2BA8" w14:textId="77777777" w:rsidR="006D7F31" w:rsidRPr="00E4439C" w:rsidRDefault="006D7F31" w:rsidP="0020138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2243" w:rsidRPr="00E4439C" w14:paraId="45D6CDDC" w14:textId="77777777" w:rsidTr="00E4439C">
        <w:tc>
          <w:tcPr>
            <w:tcW w:w="4248" w:type="dxa"/>
          </w:tcPr>
          <w:p w14:paraId="11959201" w14:textId="77777777" w:rsidR="00C62243" w:rsidRPr="00E4439C" w:rsidRDefault="00C62243" w:rsidP="00E4439C">
            <w:pPr>
              <w:pStyle w:val="Prrafodelista"/>
              <w:numPr>
                <w:ilvl w:val="0"/>
                <w:numId w:val="1"/>
              </w:numPr>
              <w:ind w:left="318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9C">
              <w:rPr>
                <w:rFonts w:ascii="Arial" w:hAnsi="Arial" w:cs="Arial"/>
                <w:b/>
                <w:bCs/>
                <w:sz w:val="20"/>
                <w:szCs w:val="20"/>
              </w:rPr>
              <w:t>Objetivos de la norma.</w:t>
            </w:r>
          </w:p>
          <w:p w14:paraId="73E78259" w14:textId="69337FD8" w:rsidR="00C62243" w:rsidRPr="00E4439C" w:rsidRDefault="00C62243" w:rsidP="00E4439C">
            <w:pPr>
              <w:pStyle w:val="Prrafodelista"/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9C">
              <w:rPr>
                <w:rFonts w:ascii="Arial" w:hAnsi="Arial" w:cs="Arial"/>
                <w:sz w:val="20"/>
                <w:szCs w:val="20"/>
              </w:rPr>
              <w:t xml:space="preserve">Con la aprobación de estas bases reguladoras se pretende </w:t>
            </w:r>
            <w:r w:rsidR="00307E88" w:rsidRPr="00E4439C">
              <w:rPr>
                <w:rFonts w:ascii="Arial" w:hAnsi="Arial" w:cs="Arial"/>
                <w:sz w:val="20"/>
                <w:szCs w:val="20"/>
              </w:rPr>
              <w:t>paliar en cierta medida los gastos a los que se tienen que enfrentar las familias ante la llegad</w:t>
            </w:r>
            <w:r w:rsidR="00E4439C">
              <w:rPr>
                <w:rFonts w:ascii="Arial" w:hAnsi="Arial" w:cs="Arial"/>
                <w:sz w:val="20"/>
                <w:szCs w:val="20"/>
              </w:rPr>
              <w:t>a</w:t>
            </w:r>
            <w:r w:rsidR="00307E88" w:rsidRPr="00E4439C">
              <w:rPr>
                <w:rFonts w:ascii="Arial" w:hAnsi="Arial" w:cs="Arial"/>
                <w:sz w:val="20"/>
                <w:szCs w:val="20"/>
              </w:rPr>
              <w:t xml:space="preserve"> de un nuevo miembro</w:t>
            </w:r>
            <w:r w:rsidR="00CE3C4C" w:rsidRPr="00E4439C">
              <w:rPr>
                <w:rFonts w:ascii="Arial" w:hAnsi="Arial" w:cs="Arial"/>
                <w:sz w:val="20"/>
                <w:szCs w:val="20"/>
              </w:rPr>
              <w:t xml:space="preserve"> y fijar población joven en l</w:t>
            </w:r>
            <w:r w:rsidR="00BE6C68" w:rsidRPr="00E4439C">
              <w:rPr>
                <w:rFonts w:ascii="Arial" w:hAnsi="Arial" w:cs="Arial"/>
                <w:sz w:val="20"/>
                <w:szCs w:val="20"/>
              </w:rPr>
              <w:t>a</w:t>
            </w:r>
            <w:r w:rsidR="00CE3C4C" w:rsidRPr="00E4439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BE6C68" w:rsidRPr="00E4439C">
              <w:rPr>
                <w:rFonts w:ascii="Arial" w:hAnsi="Arial" w:cs="Arial"/>
                <w:sz w:val="20"/>
                <w:szCs w:val="20"/>
              </w:rPr>
              <w:t xml:space="preserve">poblaciones </w:t>
            </w:r>
            <w:r w:rsidR="00CE3C4C" w:rsidRPr="00E4439C">
              <w:rPr>
                <w:rFonts w:ascii="Arial" w:hAnsi="Arial" w:cs="Arial"/>
                <w:sz w:val="20"/>
                <w:szCs w:val="20"/>
              </w:rPr>
              <w:t>de hasta 3.000 habitantes</w:t>
            </w:r>
            <w:r w:rsidR="00307E88" w:rsidRPr="00E443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13808E11" w14:textId="77777777" w:rsidR="00C62243" w:rsidRPr="00E4439C" w:rsidRDefault="00C62243" w:rsidP="0020138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3CD0" w:rsidRPr="00E4439C" w14:paraId="4A08F72F" w14:textId="77777777" w:rsidTr="00E4439C">
        <w:tc>
          <w:tcPr>
            <w:tcW w:w="4248" w:type="dxa"/>
          </w:tcPr>
          <w:p w14:paraId="4A68A252" w14:textId="77777777" w:rsidR="00633CD0" w:rsidRPr="00E4439C" w:rsidRDefault="00633CD0" w:rsidP="00E4439C">
            <w:pPr>
              <w:pStyle w:val="Prrafodelista"/>
              <w:numPr>
                <w:ilvl w:val="0"/>
                <w:numId w:val="1"/>
              </w:numPr>
              <w:ind w:left="318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9C">
              <w:rPr>
                <w:rFonts w:ascii="Arial" w:hAnsi="Arial" w:cs="Arial"/>
                <w:b/>
                <w:bCs/>
                <w:sz w:val="20"/>
                <w:szCs w:val="20"/>
              </w:rPr>
              <w:t>Posibles soluciones alternativas regulatorias o no.</w:t>
            </w:r>
          </w:p>
          <w:p w14:paraId="48574C43" w14:textId="3015FBD9" w:rsidR="001E728E" w:rsidRPr="00E4439C" w:rsidRDefault="00F576AB" w:rsidP="00E4439C">
            <w:pPr>
              <w:pStyle w:val="Prrafodelista"/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9C">
              <w:rPr>
                <w:rFonts w:ascii="Arial" w:hAnsi="Arial" w:cs="Arial"/>
                <w:sz w:val="20"/>
                <w:szCs w:val="20"/>
              </w:rPr>
              <w:t>E</w:t>
            </w:r>
            <w:r w:rsidR="001E728E" w:rsidRPr="00E4439C">
              <w:rPr>
                <w:rFonts w:ascii="Arial" w:hAnsi="Arial" w:cs="Arial"/>
                <w:sz w:val="20"/>
                <w:szCs w:val="20"/>
              </w:rPr>
              <w:t xml:space="preserve">xisten </w:t>
            </w:r>
            <w:r w:rsidRPr="00E4439C">
              <w:rPr>
                <w:rFonts w:ascii="Arial" w:hAnsi="Arial" w:cs="Arial"/>
                <w:sz w:val="20"/>
                <w:szCs w:val="20"/>
              </w:rPr>
              <w:t xml:space="preserve">en el ámbito estatal </w:t>
            </w:r>
            <w:r w:rsidR="00E4439C">
              <w:rPr>
                <w:rFonts w:ascii="Arial" w:hAnsi="Arial" w:cs="Arial"/>
                <w:sz w:val="20"/>
                <w:szCs w:val="20"/>
              </w:rPr>
              <w:t xml:space="preserve">y local </w:t>
            </w:r>
            <w:r w:rsidRPr="00E4439C">
              <w:rPr>
                <w:rFonts w:ascii="Arial" w:hAnsi="Arial" w:cs="Arial"/>
                <w:sz w:val="20"/>
                <w:szCs w:val="20"/>
              </w:rPr>
              <w:t>ayudas directas</w:t>
            </w:r>
            <w:r w:rsidR="00385427" w:rsidRPr="00E4439C">
              <w:rPr>
                <w:rFonts w:ascii="Arial" w:hAnsi="Arial" w:cs="Arial"/>
                <w:sz w:val="20"/>
                <w:szCs w:val="20"/>
              </w:rPr>
              <w:t>,</w:t>
            </w:r>
            <w:r w:rsidRPr="00E4439C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385427" w:rsidRPr="00E4439C">
              <w:rPr>
                <w:rFonts w:ascii="Arial" w:hAnsi="Arial" w:cs="Arial"/>
                <w:sz w:val="20"/>
                <w:szCs w:val="20"/>
              </w:rPr>
              <w:t xml:space="preserve"> tanto en el ámbit</w:t>
            </w:r>
            <w:bookmarkStart w:id="0" w:name="_GoBack"/>
            <w:bookmarkEnd w:id="0"/>
            <w:r w:rsidR="00385427" w:rsidRPr="00E4439C">
              <w:rPr>
                <w:rFonts w:ascii="Arial" w:hAnsi="Arial" w:cs="Arial"/>
                <w:sz w:val="20"/>
                <w:szCs w:val="20"/>
              </w:rPr>
              <w:t>o estatal como autonómico, existen otras medidas transversales de apoyo a la natalidad y a la familia, tales como</w:t>
            </w:r>
            <w:r w:rsidRPr="00E4439C">
              <w:rPr>
                <w:rFonts w:ascii="Arial" w:hAnsi="Arial" w:cs="Arial"/>
                <w:sz w:val="20"/>
                <w:szCs w:val="20"/>
              </w:rPr>
              <w:t xml:space="preserve"> deducciones</w:t>
            </w:r>
            <w:r w:rsidR="00385427" w:rsidRPr="00E4439C">
              <w:rPr>
                <w:rFonts w:ascii="Arial" w:hAnsi="Arial" w:cs="Arial"/>
                <w:sz w:val="20"/>
                <w:szCs w:val="20"/>
              </w:rPr>
              <w:t xml:space="preserve"> fiscales, en el ámbito educativo, </w:t>
            </w:r>
            <w:proofErr w:type="spellStart"/>
            <w:r w:rsidR="00385427" w:rsidRPr="00E4439C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E4439C">
              <w:rPr>
                <w:rFonts w:ascii="Arial" w:hAnsi="Arial" w:cs="Arial"/>
                <w:sz w:val="20"/>
                <w:szCs w:val="20"/>
              </w:rPr>
              <w:t>, que persiguen</w:t>
            </w:r>
            <w:r w:rsidR="00385427" w:rsidRPr="00E4439C">
              <w:rPr>
                <w:rFonts w:ascii="Arial" w:hAnsi="Arial" w:cs="Arial"/>
                <w:sz w:val="20"/>
                <w:szCs w:val="20"/>
              </w:rPr>
              <w:t xml:space="preserve"> apoyar</w:t>
            </w:r>
            <w:r w:rsidRPr="00E4439C">
              <w:rPr>
                <w:rFonts w:ascii="Arial" w:hAnsi="Arial" w:cs="Arial"/>
                <w:sz w:val="20"/>
                <w:szCs w:val="20"/>
              </w:rPr>
              <w:t xml:space="preserve"> la natalidad</w:t>
            </w:r>
            <w:r w:rsidR="00385427" w:rsidRPr="00E4439C">
              <w:rPr>
                <w:rFonts w:ascii="Arial" w:hAnsi="Arial" w:cs="Arial"/>
                <w:sz w:val="20"/>
                <w:szCs w:val="20"/>
              </w:rPr>
              <w:t xml:space="preserve"> y fijar población en el medio rural</w:t>
            </w:r>
            <w:r w:rsidRPr="00E4439C">
              <w:rPr>
                <w:rFonts w:ascii="Arial" w:hAnsi="Arial" w:cs="Arial"/>
                <w:sz w:val="20"/>
                <w:szCs w:val="20"/>
              </w:rPr>
              <w:t xml:space="preserve">, por lo que la norma que se pretende aprobar </w:t>
            </w:r>
            <w:r w:rsidR="00385427" w:rsidRPr="00E44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439C">
              <w:rPr>
                <w:rFonts w:ascii="Arial" w:hAnsi="Arial" w:cs="Arial"/>
                <w:sz w:val="20"/>
                <w:szCs w:val="20"/>
              </w:rPr>
              <w:t>complementaría las ayudas</w:t>
            </w:r>
            <w:r w:rsidR="00385427" w:rsidRPr="00E4439C">
              <w:rPr>
                <w:rFonts w:ascii="Arial" w:hAnsi="Arial" w:cs="Arial"/>
                <w:sz w:val="20"/>
                <w:szCs w:val="20"/>
              </w:rPr>
              <w:t xml:space="preserve"> y/o medidas</w:t>
            </w:r>
            <w:r w:rsidRPr="00E44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439C">
              <w:rPr>
                <w:rFonts w:ascii="Arial" w:hAnsi="Arial" w:cs="Arial"/>
                <w:sz w:val="20"/>
                <w:szCs w:val="20"/>
              </w:rPr>
              <w:lastRenderedPageBreak/>
              <w:t xml:space="preserve">ya existentes en otros ámbitos competenciales. </w:t>
            </w:r>
          </w:p>
        </w:tc>
        <w:tc>
          <w:tcPr>
            <w:tcW w:w="4252" w:type="dxa"/>
          </w:tcPr>
          <w:p w14:paraId="581573D1" w14:textId="77777777" w:rsidR="00633CD0" w:rsidRPr="00E4439C" w:rsidRDefault="00633CD0" w:rsidP="0020138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7D6DBA2" w14:textId="77777777" w:rsidR="00251E99" w:rsidRPr="00E4439C" w:rsidRDefault="00251E99" w:rsidP="00CE3C4C">
      <w:pPr>
        <w:jc w:val="both"/>
        <w:rPr>
          <w:rFonts w:ascii="Arial" w:hAnsi="Arial" w:cs="Arial"/>
          <w:sz w:val="20"/>
          <w:szCs w:val="20"/>
        </w:rPr>
      </w:pPr>
    </w:p>
    <w:p w14:paraId="074D91E5" w14:textId="07C25481" w:rsidR="00201383" w:rsidRPr="00E4439C" w:rsidRDefault="00201383">
      <w:pPr>
        <w:rPr>
          <w:rFonts w:ascii="Arial" w:hAnsi="Arial" w:cs="Arial"/>
          <w:sz w:val="20"/>
          <w:szCs w:val="20"/>
        </w:rPr>
      </w:pPr>
    </w:p>
    <w:sectPr w:rsidR="00201383" w:rsidRPr="00E44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D533B"/>
    <w:multiLevelType w:val="hybridMultilevel"/>
    <w:tmpl w:val="55644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FD"/>
    <w:rsid w:val="000358C8"/>
    <w:rsid w:val="001C32DA"/>
    <w:rsid w:val="001C58F6"/>
    <w:rsid w:val="001E728E"/>
    <w:rsid w:val="001F5AAF"/>
    <w:rsid w:val="00201383"/>
    <w:rsid w:val="00227220"/>
    <w:rsid w:val="00251E99"/>
    <w:rsid w:val="002C7C4F"/>
    <w:rsid w:val="00307E88"/>
    <w:rsid w:val="00353C1F"/>
    <w:rsid w:val="00385427"/>
    <w:rsid w:val="003A705F"/>
    <w:rsid w:val="003C79EE"/>
    <w:rsid w:val="004869AC"/>
    <w:rsid w:val="00490C2B"/>
    <w:rsid w:val="00586EAF"/>
    <w:rsid w:val="00633CD0"/>
    <w:rsid w:val="00672670"/>
    <w:rsid w:val="006D7F31"/>
    <w:rsid w:val="0098497A"/>
    <w:rsid w:val="009E5B05"/>
    <w:rsid w:val="00A061B0"/>
    <w:rsid w:val="00A865C8"/>
    <w:rsid w:val="00AD64F0"/>
    <w:rsid w:val="00BA28C9"/>
    <w:rsid w:val="00BE6C68"/>
    <w:rsid w:val="00C05AEC"/>
    <w:rsid w:val="00C62243"/>
    <w:rsid w:val="00CE3C4C"/>
    <w:rsid w:val="00DC45FD"/>
    <w:rsid w:val="00DF7709"/>
    <w:rsid w:val="00E069F5"/>
    <w:rsid w:val="00E4439C"/>
    <w:rsid w:val="00F06AA8"/>
    <w:rsid w:val="00F5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03ED"/>
  <w15:chartTrackingRefBased/>
  <w15:docId w15:val="{FECC7036-F2DC-4D8F-A429-BD582B3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20138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table" w:styleId="Tablaconcuadrcula">
    <w:name w:val="Table Grid"/>
    <w:basedOn w:val="Tablanormal"/>
    <w:uiPriority w:val="39"/>
    <w:rsid w:val="0025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32D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3C1F"/>
    <w:pPr>
      <w:spacing w:after="120" w:line="256" w:lineRule="auto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3C1F"/>
  </w:style>
  <w:style w:type="character" w:customStyle="1" w:styleId="doe2">
    <w:name w:val="doe2"/>
    <w:basedOn w:val="Fuentedeprrafopredeter"/>
    <w:rsid w:val="001F5AAF"/>
  </w:style>
  <w:style w:type="character" w:customStyle="1" w:styleId="doe4">
    <w:name w:val="doe4"/>
    <w:basedOn w:val="Fuentedeprrafopredeter"/>
    <w:rsid w:val="001F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9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SECO CABALLERO</dc:creator>
  <cp:keywords/>
  <dc:description/>
  <cp:lastModifiedBy>Maria Isabel Martinez Rivera</cp:lastModifiedBy>
  <cp:revision>36</cp:revision>
  <dcterms:created xsi:type="dcterms:W3CDTF">2024-05-31T09:04:00Z</dcterms:created>
  <dcterms:modified xsi:type="dcterms:W3CDTF">2024-11-08T11:08:00Z</dcterms:modified>
</cp:coreProperties>
</file>